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540" w:lineRule="exact"/>
        <w:ind w:firstLine="567"/>
        <w:rPr>
          <w:rFonts w:hAnsi="宋体" w:eastAsia="仿宋_GB2312" w:cs="宋体"/>
          <w:b w:val="0"/>
          <w:bCs w:val="0"/>
          <w:kern w:val="0"/>
          <w:sz w:val="36"/>
          <w:szCs w:val="36"/>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36"/>
          <w:szCs w:val="36"/>
        </w:rPr>
        <w:t>克州党委政策研究室</w:t>
      </w:r>
    </w:p>
    <w:p>
      <w:pPr>
        <w:spacing w:line="540" w:lineRule="exact"/>
        <w:ind w:left="273" w:firstLine="567"/>
        <w:jc w:val="both"/>
        <w:rPr>
          <w:rStyle w:val="6"/>
          <w:rFonts w:hint="eastAsia" w:ascii="仿宋" w:hAnsi="仿宋" w:eastAsia="仿宋" w:cs="仿宋"/>
          <w:b w:val="0"/>
          <w:bCs w:val="0"/>
          <w:spacing w:val="-4"/>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36"/>
          <w:szCs w:val="36"/>
        </w:rPr>
        <w:t>2022年03月04日</w:t>
      </w:r>
    </w:p>
    <w:p>
      <w:pPr>
        <w:rPr>
          <w:rStyle w:val="6"/>
          <w:rFonts w:hint="eastAsia" w:ascii="仿宋" w:hAnsi="仿宋" w:eastAsia="仿宋" w:cs="仿宋"/>
          <w:b w:val="0"/>
          <w:bCs w:val="0"/>
          <w:spacing w:val="-4"/>
          <w:sz w:val="44"/>
          <w:szCs w:val="44"/>
        </w:rPr>
      </w:pPr>
      <w:r>
        <w:rPr>
          <w:rStyle w:val="6"/>
          <w:rFonts w:hint="eastAsia" w:ascii="仿宋" w:hAnsi="仿宋" w:eastAsia="仿宋" w:cs="仿宋"/>
          <w:b w:val="0"/>
          <w:bCs w:val="0"/>
          <w:spacing w:val="-4"/>
          <w:sz w:val="44"/>
          <w:szCs w:val="44"/>
        </w:rPr>
        <w:br w:type="page"/>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基本概况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（一）部门单位基本情况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1.部门主要职能</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克州党委政策研究室主要职责是围绕州委中心工作和决策部署，开展调查研究，当好州委、州政府的智囊团和信息库，为州委决策提供好的政策建议和参考依据，探索和研究经济社会发展中的新情况新问题，发挥参谋助手作用，并协助州委、州政府把好政策关、文字关。</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2.部门机构设置及人员构成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克州党委政策研究室单位无下属预算单位，下设3个处室，分别是：政策研究科、深化改革科、综合中心。</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克州党委政策研究室单位编制数11人，实有人数7人，其中：在职7人，退休0人。</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3.年度重点工作</w:t>
      </w:r>
      <w:r>
        <w:rPr>
          <w:rFonts w:hint="eastAsia" w:ascii="仿宋_GB2312" w:hAnsi="宋体" w:eastAsia="仿宋_GB2312"/>
          <w:b w:val="0"/>
          <w:bCs/>
          <w:sz w:val="32"/>
          <w:szCs w:val="32"/>
          <w:lang w:eastAsia="zh-CN"/>
        </w:rPr>
        <w:t>计划</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根据州委指示，起草、参与起草、修改和组织协同有关部门共同起草、修改自治州党委、自治州人民政府重要文稿；对自治州政治、经济、文化、生态文明、民生保障、社会稳定、改革开放、党的建设等方面的重大问题进行调查研究，提出意见和建议，供自治州党委决策参考；根据自治州党委全面深化改革委员会要求，统筹相关部门制定改革方案和措施，加强与自治区党委改革办以及其他地州改革办的联络与交流，负责与各县（市）改革办、自治州各专项小组、各部门改革工作的沟通联络、参谋协调，协调推进军地及夸专项小组改革任务落实；负责对自治州各县（市）、各专项小组、各部门全面深化改革工作的统筹、协调、督促、绩效考核，总结宣传改革经验。</w:t>
      </w:r>
      <w:r>
        <w:rPr>
          <w:rFonts w:hint="eastAsia" w:ascii="仿宋_GB2312" w:hAnsi="宋体" w:eastAsia="仿宋_GB2312"/>
          <w:b w:val="0"/>
          <w:bCs/>
          <w:sz w:val="32"/>
          <w:szCs w:val="32"/>
        </w:rPr>
        <w:tab/>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（二）决策过程</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为有效实施本单位内部控制管理工作，加强风险防控机制建设，进一步提高单位内部管理水平，规范各项内部经济活动，依据《中华人民共和国会计法》、《中华人民共和国预算法》、《行政事业单位内部控制规范（试行）》等法律法规和有关规定，本单位制定了《克州党委政策研究室单位内部控制规范》，主要内容包括如下几个方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1.单位层面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单位层面确定了单位内部控制工作组织架构。办公室负责牵头建立内部控制体系，研究制定各项内部控制管理制度，组织协调内部控制日常工作，对所实物资产进行管理。各部门配合内部控制牵头部门对所内相关的经济活动进行流程梳理，提出具体的内部控制措施和手段；认真执行内部控制管理制度，落实相关工作要求。</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单位内部控制依托的重大事项议事机制，决策、执行和监督相分离机制等工作机制；重大经济活动事项的决策形式是单位领导班子会议。涉及单位重大经济活动事项，必须列入单位班子会议研究、审议和决策。会议决议经党组主要领导审签后在一定范围内发布。重大经济活动事项的决议经审定后由分管领导负责实施，由会议确定的责任部门具体执行。各责任部门按照“谁主管、谁负责”的原则，对决策执行实施责任分解，将责任落实到人。同时，单位层面内部控制机制还包括：内部风险控制机制、岗位控制机制、不相容岗位分离机制、授权审批流程；关键岗位工作人员的管理、培训、评价和轮岗等机制。</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2.业务层面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业务层面建立了部门预算管理办法、财务收支管理办法、固定资产管理办法、办公用品采购保管领用管理办法、采购管理办法、合同业务管理办法、会计业务管理办法等。</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（1）预算管理：领导班子是预算管理决策机构，负责研究单位年度预算、财政信息公开、预算绩效管理等重大事项。</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（2）收支管理：领导层是本单位收支业务管理的决策部门，负责审批单位收支业务等事项。涉及“三重一大”事项，根据《克州党委政策研究室集体决策制度》和《克州党委政策研究室项目管理办法》办理。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固定资产管理：办公室是本单位固定资产综合管理部门，负责牵头组织协调固定资产使用管理过程中的相关工作；办公室为本单位机关实物资产的牵头管理部门，负责实物资产的监管与指导；办公室负责机关实物资产的申购与分配；各部门为实物资产的具体使用和保管部门，对其完整性负责。</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办公用品采购保管领用管理：办公用品的采购工作，在分管办公室的领导监督指导下，由办公室主任审核后，办公室负责统一集中采购，其他部门和个人不得擅自采购。所有办公用品的采购、保管、发放，均由办公室确定专人负责。各科室凭《办公用品领用申请单》提出办公用品领用申请，申请单需由各部门负责人审批。办公室仓库管理员根据领用申请单进行办公用品出库发放，并由仓库管理员和领用人分别签字确认。单位机关办公用品采购主要采取政府采购和一般零星采购两种形式。凡符合政府采购要求的，遵照《克州党委政策研究室政府采购管理办法》执行。</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5）合同业务管理：按照《克州党委政策研究室合同管理办法》相关规定，克州党委政策研究室做好合同相关事宜。单位合同审核主体、内容及程序;单位法务介入条件与环节；单位合同台账设置及管理要求;单位合同章种类、使用权限及使用范围;单位合同执行监督机制；单位合同执行归档制度；</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6）会计业务管理办法：会计业务管理的基本原则是：坚决贯彻执行国家的有关财经方针、政策、会计法规及各项财务制度，任何人不得在政策法规范围之外，自作主张处理财务问题。充分发挥会计工作的核算、监督作用，严格执行各项费用开支标准，正确使用和管理各项资金。严格内部相互制约制度，严禁由一个人全程包办会计事项的支付业务。加强现金管理，严格按照现金使用范围支取现金，无白条抵库，无坐支现象。严格遵守银行、现金管理制度，通过银行收支款项，不得坐支现金。按月核对银行存款，盘点库存现金，日清月结，确保账实相符。单位财务支出严格执行法定代表人“一支笔”签字制度，报销单据必须合法，真实，有效。单据应由经办人、主任签字后方可报销，专项经费的管理。坚持转款专用的原则，严格分清农村公路建设专项资金与日常公用经费的支出界限。对专项资金的核算，按项目分别进行明细核算。</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（三）单位资金分配情况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1.部门（单位）预算编制及分配依据</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本单位预算编制坚持量入为出、保障重点的原则?，对项目支出按照轻重缓急程度实行分类排序，统筹安排部门预算。2021年本单位安排项目预算时将项目支出进行细化，细化成单价、数量，单价以行业标准、市场数据以及历史数据作为编制依据进行核算，数量以实际需求等资料为依据进行测算。人员经费预算和公用经费预算均按照定额标准编制，预算与部门活动相匹配。</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2.分配结果</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以年度工作计划与战略目标、中长期规划及各条线工作要求为资金分配依据，严格按照《中华人民共和国预算法》、《中华人民共和国预算法实施条例》规定分配本单位资金，2021年度本单位基本支出安排资金109.76万元，项目支出安排资金12.00万元。经对比分析我单位近三年预算执行情况和经常性项目预算执行情况，结果显示：我单位基本支出预算与历史数据相比平稳、合理；项目支出预算与部门履职、年度重点工作相匹配，体现了重要性原则，预算编制科学、合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我单位牢固树立全面绩效管理理念，将预算绩效管理融入预算各类项目资金，将绩效理念融入预算各个层级，将绩效方法融入预算各项流程，严格按照政策要求编制部门整体支出绩效目标和项目支出绩效目标，切实实现预算编制有目标，确保了资金分配与绩效目标的一致性，实现预算绩效全覆盖。</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3.重点支出保障率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本单位2021年度项目支出12万元，涉及项目数量1个，其中：重点项目支出12万元，涉及重点项目数量1个，重点项目支出与部门项目总支出的比率为100%。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（四）部门单位整体支出规模</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1.全年预算执行情况分析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2021年度本单位年初批复部门预算资金总额为107.81万元，年中调增预算总额为14.04万元，调整后全年预算资金总额为121.85万元。</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2021年度本单位部门整体支出资金总额为121.76万元，预算执行率为99.93%，预算调整率为</w:t>
      </w:r>
      <w:r>
        <w:rPr>
          <w:rFonts w:hint="eastAsia" w:ascii="仿宋_GB2312" w:hAnsi="宋体" w:eastAsia="仿宋_GB2312"/>
          <w:b w:val="0"/>
          <w:bCs/>
          <w:sz w:val="32"/>
          <w:szCs w:val="32"/>
          <w:lang w:val="en-US" w:eastAsia="zh-CN"/>
        </w:rPr>
        <w:t>13.02</w:t>
      </w:r>
      <w:bookmarkStart w:id="1" w:name="_GoBack"/>
      <w:bookmarkEnd w:id="1"/>
      <w:r>
        <w:rPr>
          <w:rFonts w:hint="eastAsia" w:ascii="仿宋_GB2312" w:hAnsi="宋体" w:eastAsia="仿宋_GB2312"/>
          <w:b w:val="0"/>
          <w:bCs/>
          <w:sz w:val="32"/>
          <w:szCs w:val="32"/>
        </w:rPr>
        <w:t>%。</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2.政府采购项目预算执行情况分析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年初政府采购预算数为8.71万元，实际政府采购数为8.48万元，政府采购执行率为96.36%。</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（五）使用方法和主要内容、涉及范围</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1.评价方法</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本次自评秉承科学规范、公正公开、分级分类、绩效相关等原则，按照从投入、过程到产出效果和影响的绩效逻辑路径，结合我单位部门整体支出实际开展情况，运用定量和定性分析相结合的方法，总结经验做法，反思项目实施和管理中的问题，以切实提升财政资金管理的科学化、规范化和精细化水平。</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2.评价对象及主要内容</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评价的对象及主要内容为:一是部门单位整体管理及使用情况，具体涉及预算管理、基本支出和专项支出的管理及使用情况；二是部门单位整体支出绩效情况，具体涉及部门单位整体支出绩效目标的实现程度，包括是否达到预定产出、效果和效益效率等；三是部门单位专项组织实施情况，具体涉及专项组织情况分析和相关管理情况；四是资产管理情况，具体涉及资产管理规范性和资产变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3.涉及的范围</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此次我单位根据《财政支出绩效评价管理暂行办法》（财预〔2021〕10号）等一系列文件要求对2021年度我单位部门整体支出开展部门（单位）整体支出绩效自评，本次自评主要内容和涉及范围：一是部门（单位）整体支出管理及使用情况，具体涉及预算管理、基本支出和使用情况、和专项支出管理和使用情况；二是部门（单位）专项组织实施情况具体涉及专项组织情况分析和管理情况分析；三是资产管理情况具体涉及资产管理规范性和固定资产利用率；四是部门（单位）整体支出绩效情况具体涉及部门（单位）整体支出绩效目标的实现程度，包括是否达到预定产出、效果和效益效率等方面进行评价。</w:t>
      </w:r>
      <w:bookmarkStart w:id="0" w:name="_Hlk43849111"/>
      <w:bookmarkEnd w:id="0"/>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部门单位整体支出管理及使用情况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（一）预算管理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1.管理制度健全性</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为加强我单位预算管理、规范财务行为我单位制定了《克州党委政策研究室内部控制规范》《克州党委政策研究室项目管理规范》等资金管理制度，已建立制度均健全且有效运行。</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2.资金使用合规性和安全性</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根据自评小组对账务、会计凭证核查显示，我单位2021年资金使用符合国家财经法规和财务管理制度以及有关专项资金管理办法的规定；资金的拨付有完整的审批程序和手续；我单位建立了内部沟通协调机制，资金预算和计划的编制、调整、资金申请、信息及资料有效传递。采购合同和验收报告作为财务室采购资金支付的主要依据，在达到合同约定的付款条件时，采购需求部门及时向财务室递交采购公告、中标通知书、采购合同、验收报告以及原始发票等，由财务室按资金拨付规定及流程实行国库集中支付；不存在截留、挤占、挪用、虚列支出等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3.预决算信息公开性</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按照自治州财政局预决算信息公开工作要求，我单位在自治州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（二）基本支出管理和使用情况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1.基本支出使用情况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2021年度我单位基本支出预算总额为109.85万元，其中人员经费105.35万元，公用经费4.50万元。实际执行总额为109.76万元，预算执行率99.92%。</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2.三公经费控制情况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一般公共预算“三公”经费支出决算0.91万元，比上年减少2.14万元，减少73.52%，主要原因是：按照厉行节约的要求，2021年缩减公务车运行维护费，因此支出随之减少。其中，因公出国（境）费支出0万元；公务用车购置及运行维护费支出0.71万元；公务接待费支出0.20万元;</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与年初预算数相比情况：一般公共预算“三公”经费支出年初预算数3.45万元，预算执行数为0.91万元，执行率为26.38%，主要原因是：按照厉行节约的要求，2021年缩减公务车运行维护费，因此支出随之减少。</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综上我单位2021年度三公经费控制较好，与上年相比存在降低与年初预算相比，未超出年初预算。</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（三）项目支出管理和使用情况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2021年度本单位项目支出预算总额为12万元，实际执行资金总额为12万元，预算执行率为100%。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1.本级财力预算安排支出管理和使用情况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2021年度预算安排本级财力资金12万元，实际支出资金12万元，预算执行率为100%，涉及项目个数1个，各项目详细执行情况如下：</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调研工作经费项目:全年预算数为12万元，预算执行数为12万元，预算执行率为100%。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部门单位专项组织实施情况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本单位无专项项目。</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资产管理情况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本单位2021年初资产合计数为19.06万元，年末资产合计数为29.94万元。</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（一）资产管理体制和制度建设方面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（二）运行机制和管理方式</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资产管理由财务部门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（三）信息化建设方面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（四）流动资产的管理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流动资产严格按照我单位内控体系要求进行管理，无备用金，单位货币资金管理由财务科每月与银行进行对帐，并填写银行余额调节表。</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（五）固定资产的管理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本单位的资产管理详细按照的相关要求执行,符合财政部门要求。每年年末定时对我单位的固定资产进行盘点，对盘点过程中发生的盈亏，进行原因查找，并上报局党组研究决策，再上报财政国有资产管理科进行申报再行处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（六）固定资产利用率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截止本年度固定资产账面净值29.82</w:t>
      </w:r>
      <w:r>
        <w:rPr>
          <w:rFonts w:hint="eastAsia" w:ascii="仿宋_GB2312" w:hAnsi="宋体" w:eastAsia="仿宋_GB2312"/>
          <w:b w:val="0"/>
          <w:bCs/>
          <w:sz w:val="32"/>
          <w:szCs w:val="32"/>
        </w:rPr>
        <w:tab/>
      </w:r>
      <w:r>
        <w:rPr>
          <w:rFonts w:hint="eastAsia" w:ascii="仿宋_GB2312" w:hAnsi="宋体" w:eastAsia="仿宋_GB2312"/>
          <w:b w:val="0"/>
          <w:bCs/>
          <w:sz w:val="32"/>
          <w:szCs w:val="32"/>
        </w:rPr>
        <w:t>万元，年末实际在用固定资产29.82万元，固定资产利用率为100%。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部门单位整体支出绩效情况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部门单位整体支出共设置一级指标3个，二级指标7个，三级指标15个，其中已完成三级指标14个，指标完成率为93.33%。</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1.产出指标完成情况分析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（1）数量指标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“县市调研次数(次)”指标：预期指标值为&gt;=12次，实际完成指标值为12次，指标完成率为100%。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“保障人员人数（人）”指标：预期指标值为=7人，实际完成指标值为7人，指标完成率为100%。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“调研报告（份）”指标：预期指标值为&gt;=6份，实际完成指标值为6份，指标完成率为100%。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“督促改革单位数（个）”指标：预期指标值为=37个，实际完成指标值为37个，指标完成率为100%。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“督促改革县市数（个）”指标：预期指标值为=4个，实际完成指标值为4个，指标完成率为100%。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（2）质量指标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“调研报告完成率”指标：预期指标值为=100%，实际完成指标值为100%，指标完成率为100%。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（3）时效指标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“考核合格率”指标：预期指标值为=100%，实际完成指标值为100%，指标完成率为100%。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“人员工资发放及时率”指标：预期指标值为=100%，实际完成指标值为100%，指标完成率为100%。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（4）成本指标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“人员经费（万元）”指标：预期指标值为&lt;=91.15万元，实际完成指标值为91.15万元，指标完成率为100%。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“公用经费（万元）”指标：预期指标值为&lt;=4.66万元，实际完成指标值为4.41万元，指标完成率为94.64%。偏差原因：课题奖励奖金未使用完用于办公经费手续费等；改进措施：合理规划资金使用。</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“项目经费（万元）”指标：预期指标值为&lt;=12万元，实际完成指标值为12万元，指标完成率为100%。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从以上指标完成情况成本指标达到成本控制及改善目标。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2.效益指标完成情况分析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（1）经济效益</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无经济效益指标。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（2）社会效益</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“提高公共服务水平”指标：预期指标值为有限提高，实际完成指标值为有限提高，指标完成率为100%。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（3）生态效益</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无生态效益指标。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（4）可持续影响</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“保障日常工作需要”指标：预期指标值为有效保障，实际完成指标值为有效保障，指标完成率为100%。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3.满意度指标完成情况分析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“受益工作人员满意度”指标：预期指标值为&gt;=95%，实际完成指标值为95%，指标完成率为100%。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存在的主要问题</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1.部分业务人员绩效管理意识有待增强，未能全面深入认识理解绩效管理工作的意义。绩效管理经验不足，预算绩效管理工作有待进一步落实。</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2.绩效指标的明确性、可衡量性、相关性还需进一步提升。预算精细化管理还需完善，预算编制管理水平仍有进一步提升的空间。</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改进措施和建议</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pPr>
      <w:r>
        <w:rPr>
          <w:rFonts w:hint="eastAsia" w:ascii="仿宋_GB2312" w:hAnsi="宋体" w:eastAsia="仿宋_GB2312"/>
          <w:b w:val="0"/>
          <w:bCs/>
          <w:sz w:val="32"/>
          <w:szCs w:val="32"/>
        </w:rPr>
        <w:t>（一）改进措施</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1.继续加大绩效工作宣传力度，强化绩效理念。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2.继续完善绩效指标，提高整体绩效目标质量。提升预算精细化管理水平。</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3.继续完善预算绩效管理相关工作制度，建立全过程预算绩效管理链条，有效贯彻落实全面实施绩效管理的精神。</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（二）建议</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1.加强预算绩效目标管理工作。明确预算项目绩效目标编制要求，分类别建立科学合理、细化量化、可比可测预算绩效指标体系，突出结果导向，重点考核实绩。</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2.加强绩效业务学习及培训，提高业务人员绩效管理意识，进一步加强预算绩效管理工作，优化项目支出绩效指标体系，完善预算绩效管理制度，有效推动我单位下一年度预算绩效管理工作常态化、规范化。</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3.通过强化专业培训、学习考察、业务交流等措施，帮助和促进本单位现有人员提高绩效管理业务水平、实际工作能力。强化预算绩效执行工作，指定专人负责预算执行监督管理，进一步推动预算绩效管理工作。</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4.借助第三方专业机构力量，贯彻落实全面预算绩效管理工作，建立全过程预算绩效管理链条，将绩效各个环节紧密贯通。</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020B07BA"/>
    <w:rsid w:val="02656D15"/>
    <w:rsid w:val="06696209"/>
    <w:rsid w:val="0D1922F1"/>
    <w:rsid w:val="108622B3"/>
    <w:rsid w:val="1438599A"/>
    <w:rsid w:val="200F4073"/>
    <w:rsid w:val="23E93FB6"/>
    <w:rsid w:val="24B86128"/>
    <w:rsid w:val="51C70EA9"/>
    <w:rsid w:val="54C74DC1"/>
    <w:rsid w:val="54F842B6"/>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129</Words>
  <Characters>301</Characters>
  <Lines>2</Lines>
  <Paragraphs>1</Paragraphs>
  <TotalTime>29</TotalTime>
  <ScaleCrop>false</ScaleCrop>
  <LinksUpToDate>false</LinksUpToDate>
  <CharactersWithSpaces>308</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Administrator</cp:lastModifiedBy>
  <dcterms:modified xsi:type="dcterms:W3CDTF">2022-05-23T10:58:14Z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4E2A216151A24EE5A190066F518526B7</vt:lpwstr>
  </property>
</Properties>
</file>